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proofErr w:type="gramStart"/>
      <w:r>
        <w:rPr>
          <w:rFonts w:ascii="Calibri" w:hAnsi="Calibri" w:cs="Calibri"/>
          <w:sz w:val="22"/>
          <w:szCs w:val="22"/>
        </w:rPr>
        <w:t>……</w:t>
      </w:r>
      <w:r w:rsidR="003D12B4">
        <w:rPr>
          <w:rFonts w:ascii="Calibri" w:hAnsi="Calibri" w:cs="Calibri"/>
          <w:sz w:val="22"/>
          <w:szCs w:val="22"/>
        </w:rPr>
        <w:t>.</w:t>
      </w:r>
      <w:proofErr w:type="gramEnd"/>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w:t>
      </w:r>
      <w:proofErr w:type="gramStart"/>
      <w:r w:rsidR="007804AA" w:rsidRPr="007804AA">
        <w:rPr>
          <w:rFonts w:asciiTheme="minorHAnsi" w:hAnsiTheme="minorHAnsi"/>
          <w:b/>
          <w:color w:val="000000" w:themeColor="text1"/>
          <w:sz w:val="22"/>
          <w:szCs w:val="22"/>
          <w:highlight w:val="yellow"/>
        </w:rPr>
        <w:t>účastník</w:t>
      </w:r>
      <w:r w:rsidR="00EB723F" w:rsidRPr="007804AA">
        <w:rPr>
          <w:rFonts w:asciiTheme="minorHAnsi" w:hAnsiTheme="minorHAnsi"/>
          <w:b/>
          <w:color w:val="000000" w:themeColor="text1"/>
          <w:sz w:val="22"/>
          <w:szCs w:val="22"/>
          <w:highlight w:val="yellow"/>
        </w:rPr>
        <w:t xml:space="preserve"> - obchodní</w:t>
      </w:r>
      <w:proofErr w:type="gramEnd"/>
      <w:r w:rsidR="00EB723F" w:rsidRPr="007804AA">
        <w:rPr>
          <w:rFonts w:asciiTheme="minorHAnsi" w:hAnsiTheme="minorHAnsi"/>
          <w:b/>
          <w:color w:val="000000" w:themeColor="text1"/>
          <w:sz w:val="22"/>
          <w:szCs w:val="22"/>
          <w:highlight w:val="yellow"/>
        </w:rPr>
        <w:t xml:space="preserve">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proofErr w:type="gramStart"/>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sidRPr="003A7015">
        <w:rPr>
          <w:rFonts w:asciiTheme="minorHAnsi" w:hAnsiTheme="minorHAnsi"/>
          <w:color w:val="000000" w:themeColor="text1"/>
          <w:sz w:val="22"/>
          <w:szCs w:val="22"/>
          <w:highlight w:val="yellow"/>
        </w:rPr>
        <w:t>……..,</w:t>
      </w:r>
      <w:r w:rsidR="00ED5FFF">
        <w:rPr>
          <w:rFonts w:asciiTheme="minorHAnsi" w:hAnsiTheme="minorHAnsi"/>
          <w:color w:val="000000" w:themeColor="text1"/>
          <w:sz w:val="22"/>
          <w:szCs w:val="22"/>
        </w:rPr>
        <w:t xml:space="preserve"> oddíl</w:t>
      </w:r>
      <w:r w:rsidR="00ED5FFF" w:rsidRPr="003A7015">
        <w:rPr>
          <w:rFonts w:asciiTheme="minorHAnsi" w:hAnsiTheme="minorHAnsi"/>
          <w:color w:val="000000" w:themeColor="text1"/>
          <w:sz w:val="22"/>
          <w:szCs w:val="22"/>
          <w:highlight w:val="yellow"/>
        </w:rPr>
        <w:t>…..,</w:t>
      </w:r>
      <w:r w:rsidR="00ED5FFF">
        <w:rPr>
          <w:rFonts w:asciiTheme="minorHAnsi" w:hAnsiTheme="minorHAnsi"/>
          <w:color w:val="000000" w:themeColor="text1"/>
          <w:sz w:val="22"/>
          <w:szCs w:val="22"/>
        </w:rPr>
        <w:t xml:space="preserve"> vložka</w:t>
      </w:r>
      <w:r w:rsidR="00ED5FFF" w:rsidRPr="003A7015">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0167511"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F900CD">
        <w:rPr>
          <w:rFonts w:asciiTheme="minorHAnsi" w:hAnsiTheme="minorHAnsi"/>
          <w:b/>
          <w:bCs/>
          <w:sz w:val="22"/>
          <w:szCs w:val="22"/>
        </w:rPr>
        <w:t>Ultrazvuky</w:t>
      </w:r>
      <w:r w:rsidR="00373F2B" w:rsidRPr="00373F2B">
        <w:rPr>
          <w:rFonts w:asciiTheme="minorHAnsi" w:hAnsiTheme="minorHAnsi"/>
          <w:b/>
          <w:bCs/>
          <w:sz w:val="22"/>
          <w:szCs w:val="22"/>
        </w:rPr>
        <w:t xml:space="preserve"> pro NPK</w:t>
      </w:r>
      <w:r w:rsidR="008A728C">
        <w:rPr>
          <w:rFonts w:asciiTheme="minorHAnsi" w:hAnsiTheme="minorHAnsi"/>
          <w:b/>
          <w:bCs/>
          <w:sz w:val="22"/>
          <w:szCs w:val="22"/>
        </w:rPr>
        <w:t>,</w:t>
      </w:r>
      <w:r w:rsidR="00373F2B" w:rsidRPr="00373F2B">
        <w:rPr>
          <w:rFonts w:asciiTheme="minorHAnsi" w:hAnsiTheme="minorHAnsi"/>
          <w:b/>
          <w:bCs/>
          <w:sz w:val="22"/>
          <w:szCs w:val="22"/>
        </w:rPr>
        <w:t xml:space="preserve"> a.s.</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7DF1342A" w:rsidR="000832FE" w:rsidRPr="00F900CD" w:rsidRDefault="000832FE" w:rsidP="00592397">
      <w:pPr>
        <w:widowControl w:val="0"/>
        <w:numPr>
          <w:ilvl w:val="0"/>
          <w:numId w:val="16"/>
        </w:numPr>
        <w:tabs>
          <w:tab w:val="left" w:pos="426"/>
        </w:tabs>
        <w:suppressAutoHyphens/>
        <w:spacing w:after="60"/>
        <w:ind w:hanging="436"/>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r w:rsidR="00116A0C">
        <w:rPr>
          <w:rFonts w:ascii="Calibri" w:eastAsia="SimSun" w:hAnsi="Calibri" w:cs="Calibri"/>
          <w:i/>
          <w:iCs/>
          <w:kern w:val="1"/>
          <w:sz w:val="22"/>
          <w:szCs w:val="22"/>
          <w:lang w:eastAsia="hi-IN" w:bidi="hi-IN"/>
        </w:rPr>
        <w:t>Zobrazovací techniky UZ</w:t>
      </w:r>
      <w:r w:rsidRPr="00F900CD">
        <w:rPr>
          <w:rFonts w:ascii="Calibri" w:eastAsia="SimSun" w:hAnsi="Calibri" w:cs="Calibri"/>
          <w:i/>
          <w:iCs/>
          <w:kern w:val="1"/>
          <w:sz w:val="22"/>
          <w:szCs w:val="22"/>
          <w:lang w:eastAsia="hi-IN" w:bidi="hi-IN"/>
        </w:rPr>
        <w:t>“ (</w:t>
      </w:r>
      <w:proofErr w:type="spellStart"/>
      <w:r w:rsidRPr="00F900CD">
        <w:rPr>
          <w:rFonts w:ascii="Calibri" w:eastAsia="SimSun" w:hAnsi="Calibri" w:cs="Calibri"/>
          <w:i/>
          <w:iCs/>
          <w:kern w:val="1"/>
          <w:sz w:val="22"/>
          <w:szCs w:val="22"/>
          <w:lang w:eastAsia="hi-IN" w:bidi="hi-IN"/>
        </w:rPr>
        <w:t>reg</w:t>
      </w:r>
      <w:proofErr w:type="spellEnd"/>
      <w:r w:rsidRPr="00F900CD">
        <w:rPr>
          <w:rFonts w:ascii="Calibri" w:eastAsia="SimSun" w:hAnsi="Calibri" w:cs="Calibri"/>
          <w:i/>
          <w:iCs/>
          <w:kern w:val="1"/>
          <w:sz w:val="22"/>
          <w:szCs w:val="22"/>
          <w:lang w:eastAsia="hi-IN" w:bidi="hi-IN"/>
        </w:rPr>
        <w:t>. č.  CZ.06.2.56/0.0/0.0/16_043/00015</w:t>
      </w:r>
      <w:r w:rsidR="00EC006E" w:rsidRPr="00F900CD">
        <w:rPr>
          <w:rFonts w:ascii="Calibri" w:eastAsia="SimSun" w:hAnsi="Calibri" w:cs="Calibri"/>
          <w:i/>
          <w:iCs/>
          <w:kern w:val="1"/>
          <w:sz w:val="22"/>
          <w:szCs w:val="22"/>
          <w:lang w:eastAsia="hi-IN" w:bidi="hi-IN"/>
        </w:rPr>
        <w:t>4</w:t>
      </w:r>
      <w:r w:rsidR="00116A0C">
        <w:rPr>
          <w:rFonts w:ascii="Calibri" w:eastAsia="SimSun" w:hAnsi="Calibri" w:cs="Calibri"/>
          <w:i/>
          <w:iCs/>
          <w:kern w:val="1"/>
          <w:sz w:val="22"/>
          <w:szCs w:val="22"/>
          <w:lang w:eastAsia="hi-IN" w:bidi="hi-IN"/>
        </w:rPr>
        <w:t>1</w:t>
      </w:r>
      <w:r w:rsidRPr="00F900CD">
        <w:rPr>
          <w:rFonts w:ascii="Calibri" w:eastAsia="SimSun" w:hAnsi="Calibri" w:cs="Calibri"/>
          <w:i/>
          <w:iCs/>
          <w:kern w:val="1"/>
          <w:sz w:val="22"/>
          <w:szCs w:val="22"/>
          <w:lang w:eastAsia="hi-IN" w:bidi="hi-IN"/>
        </w:rPr>
        <w:t xml:space="preserve">) spolufinancovaného Evropskou unií z Evropského fondu pro regionální rozvoj. </w:t>
      </w:r>
    </w:p>
    <w:p w14:paraId="05E93D83" w14:textId="0D879062" w:rsidR="006A36A9" w:rsidRPr="00020322" w:rsidRDefault="006A36A9" w:rsidP="00592397">
      <w:pPr>
        <w:widowControl w:val="0"/>
        <w:numPr>
          <w:ilvl w:val="0"/>
          <w:numId w:val="1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20322" w:rsidRPr="00020322">
        <w:rPr>
          <w:rFonts w:ascii="Calibri" w:eastAsia="SimSun" w:hAnsi="Calibri" w:cs="Calibri"/>
          <w:i/>
          <w:iCs/>
          <w:kern w:val="1"/>
          <w:sz w:val="22"/>
          <w:szCs w:val="22"/>
          <w:lang w:eastAsia="hi-IN" w:bidi="hi-IN"/>
        </w:rPr>
        <w:t>…………………………………</w:t>
      </w:r>
      <w:r w:rsidR="0043610E" w:rsidRPr="00020322">
        <w:rPr>
          <w:rFonts w:ascii="Calibri" w:eastAsia="SimSun" w:hAnsi="Calibri" w:cs="Calibri"/>
          <w:i/>
          <w:iCs/>
          <w:kern w:val="1"/>
          <w:sz w:val="22"/>
          <w:szCs w:val="22"/>
          <w:lang w:eastAsia="hi-IN" w:bidi="hi-IN"/>
        </w:rPr>
        <w:t xml:space="preserve"> </w:t>
      </w:r>
      <w:r w:rsidR="00020322" w:rsidRPr="00020322">
        <w:rPr>
          <w:rFonts w:ascii="Calibri" w:eastAsia="SimSun" w:hAnsi="Calibri" w:cs="Calibri"/>
          <w:i/>
          <w:iCs/>
          <w:kern w:val="1"/>
          <w:sz w:val="22"/>
          <w:szCs w:val="22"/>
          <w:highlight w:val="yellow"/>
          <w:lang w:eastAsia="hi-IN" w:bidi="hi-IN"/>
        </w:rPr>
        <w:t xml:space="preserve">(účastník doplnění de části do které podává nabídku: </w:t>
      </w:r>
      <w:r w:rsidR="007B6512">
        <w:rPr>
          <w:rFonts w:ascii="Calibri" w:eastAsia="SimSun" w:hAnsi="Calibri" w:cs="Calibri"/>
          <w:i/>
          <w:iCs/>
          <w:kern w:val="1"/>
          <w:sz w:val="22"/>
          <w:szCs w:val="22"/>
          <w:highlight w:val="yellow"/>
          <w:lang w:eastAsia="hi-IN" w:bidi="hi-IN"/>
        </w:rPr>
        <w:t xml:space="preserve">1 ks přístroje:  Ultrazvukový přístroj pro </w:t>
      </w:r>
      <w:r w:rsidR="00116A0C">
        <w:rPr>
          <w:rFonts w:ascii="Calibri" w:eastAsia="SimSun" w:hAnsi="Calibri" w:cs="Calibri"/>
          <w:i/>
          <w:iCs/>
          <w:kern w:val="1"/>
          <w:sz w:val="22"/>
          <w:szCs w:val="22"/>
          <w:highlight w:val="yellow"/>
          <w:lang w:eastAsia="hi-IN" w:bidi="hi-IN"/>
        </w:rPr>
        <w:t>d</w:t>
      </w:r>
      <w:r w:rsidR="007B6512">
        <w:rPr>
          <w:rFonts w:ascii="Calibri" w:eastAsia="SimSun" w:hAnsi="Calibri" w:cs="Calibri"/>
          <w:i/>
          <w:iCs/>
          <w:kern w:val="1"/>
          <w:sz w:val="22"/>
          <w:szCs w:val="22"/>
          <w:highlight w:val="yellow"/>
          <w:lang w:eastAsia="hi-IN" w:bidi="hi-IN"/>
        </w:rPr>
        <w:t>ětské oddělení Or</w:t>
      </w:r>
      <w:r w:rsidR="00116A0C">
        <w:rPr>
          <w:rFonts w:ascii="Calibri" w:eastAsia="SimSun" w:hAnsi="Calibri" w:cs="Calibri"/>
          <w:i/>
          <w:iCs/>
          <w:kern w:val="1"/>
          <w:sz w:val="22"/>
          <w:szCs w:val="22"/>
          <w:highlight w:val="yellow"/>
          <w:lang w:eastAsia="hi-IN" w:bidi="hi-IN"/>
        </w:rPr>
        <w:t>l</w:t>
      </w:r>
      <w:r w:rsidR="007B6512">
        <w:rPr>
          <w:rFonts w:ascii="Calibri" w:eastAsia="SimSun" w:hAnsi="Calibri" w:cs="Calibri"/>
          <w:i/>
          <w:iCs/>
          <w:kern w:val="1"/>
          <w:sz w:val="22"/>
          <w:szCs w:val="22"/>
          <w:highlight w:val="yellow"/>
          <w:lang w:eastAsia="hi-IN" w:bidi="hi-IN"/>
        </w:rPr>
        <w:t>ickoústecké nemocnice</w:t>
      </w:r>
      <w:r w:rsidR="00050D79"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pro</w:t>
      </w:r>
      <w:r w:rsidR="00085A62" w:rsidRPr="00020322">
        <w:rPr>
          <w:rFonts w:ascii="Calibri" w:eastAsia="SimSun" w:hAnsi="Calibri" w:cs="Calibri"/>
          <w:i/>
          <w:iCs/>
          <w:kern w:val="1"/>
          <w:sz w:val="22"/>
          <w:szCs w:val="22"/>
          <w:highlight w:val="yellow"/>
          <w:lang w:eastAsia="hi-IN" w:bidi="hi-IN"/>
        </w:rPr>
        <w:t xml:space="preserve"> část 1 veřejné zakázky</w:t>
      </w:r>
      <w:r w:rsidR="00020322" w:rsidRPr="00020322">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1</w:t>
      </w:r>
      <w:r w:rsidR="00D61FD0">
        <w:rPr>
          <w:rFonts w:ascii="Calibri" w:eastAsia="SimSun" w:hAnsi="Calibri" w:cs="Calibri"/>
          <w:i/>
          <w:iCs/>
          <w:kern w:val="1"/>
          <w:sz w:val="22"/>
          <w:szCs w:val="22"/>
          <w:highlight w:val="yellow"/>
          <w:lang w:eastAsia="hi-IN" w:bidi="hi-IN"/>
        </w:rPr>
        <w:t xml:space="preserve"> ks </w:t>
      </w:r>
      <w:r w:rsidR="007B6512">
        <w:rPr>
          <w:rFonts w:ascii="Calibri" w:eastAsia="SimSun" w:hAnsi="Calibri" w:cs="Calibri"/>
          <w:i/>
          <w:iCs/>
          <w:kern w:val="1"/>
          <w:sz w:val="22"/>
          <w:szCs w:val="22"/>
          <w:highlight w:val="yellow"/>
          <w:lang w:eastAsia="hi-IN" w:bidi="hi-IN"/>
        </w:rPr>
        <w:t xml:space="preserve">přístroje: Ultrazvukový přístroj pro </w:t>
      </w:r>
      <w:r w:rsidR="00116A0C">
        <w:rPr>
          <w:rFonts w:ascii="Calibri" w:eastAsia="SimSun" w:hAnsi="Calibri" w:cs="Calibri"/>
          <w:i/>
          <w:iCs/>
          <w:kern w:val="1"/>
          <w:sz w:val="22"/>
          <w:szCs w:val="22"/>
          <w:highlight w:val="yellow"/>
          <w:lang w:eastAsia="hi-IN" w:bidi="hi-IN"/>
        </w:rPr>
        <w:t>u</w:t>
      </w:r>
      <w:r w:rsidR="007B6512">
        <w:rPr>
          <w:rFonts w:ascii="Calibri" w:eastAsia="SimSun" w:hAnsi="Calibri" w:cs="Calibri"/>
          <w:i/>
          <w:iCs/>
          <w:kern w:val="1"/>
          <w:sz w:val="22"/>
          <w:szCs w:val="22"/>
          <w:highlight w:val="yellow"/>
          <w:lang w:eastAsia="hi-IN" w:bidi="hi-IN"/>
        </w:rPr>
        <w:t>rologii Pardubické nemocnice</w:t>
      </w:r>
      <w:r w:rsidR="00085A62"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pro část č.</w:t>
      </w:r>
      <w:r w:rsidR="00085A62" w:rsidRPr="00020322">
        <w:rPr>
          <w:rFonts w:ascii="Calibri" w:eastAsia="SimSun" w:hAnsi="Calibri" w:cs="Calibri"/>
          <w:i/>
          <w:iCs/>
          <w:kern w:val="1"/>
          <w:sz w:val="22"/>
          <w:szCs w:val="22"/>
          <w:highlight w:val="yellow"/>
          <w:lang w:eastAsia="hi-IN" w:bidi="hi-IN"/>
        </w:rPr>
        <w:t xml:space="preserve"> 2 veřejné zakázky</w:t>
      </w:r>
      <w:r w:rsidR="00020322" w:rsidRPr="00020322">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1</w:t>
      </w:r>
      <w:r w:rsidR="00085A62" w:rsidRPr="00020322">
        <w:rPr>
          <w:rFonts w:ascii="Calibri" w:eastAsia="SimSun" w:hAnsi="Calibri" w:cs="Calibri"/>
          <w:i/>
          <w:iCs/>
          <w:kern w:val="1"/>
          <w:sz w:val="22"/>
          <w:szCs w:val="22"/>
          <w:highlight w:val="yellow"/>
          <w:lang w:eastAsia="hi-IN" w:bidi="hi-IN"/>
        </w:rPr>
        <w:t xml:space="preserve"> k</w:t>
      </w:r>
      <w:r w:rsidR="007B6512">
        <w:rPr>
          <w:rFonts w:ascii="Calibri" w:eastAsia="SimSun" w:hAnsi="Calibri" w:cs="Calibri"/>
          <w:i/>
          <w:iCs/>
          <w:kern w:val="1"/>
          <w:sz w:val="22"/>
          <w:szCs w:val="22"/>
          <w:highlight w:val="yellow"/>
          <w:lang w:eastAsia="hi-IN" w:bidi="hi-IN"/>
        </w:rPr>
        <w:t>s</w:t>
      </w:r>
      <w:r w:rsidR="00085A62" w:rsidRPr="00020322">
        <w:rPr>
          <w:rFonts w:ascii="Calibri" w:eastAsia="SimSun" w:hAnsi="Calibri" w:cs="Calibri"/>
          <w:i/>
          <w:iCs/>
          <w:kern w:val="1"/>
          <w:sz w:val="22"/>
          <w:szCs w:val="22"/>
          <w:highlight w:val="yellow"/>
          <w:lang w:eastAsia="hi-IN" w:bidi="hi-IN"/>
        </w:rPr>
        <w:t xml:space="preserve"> </w:t>
      </w:r>
      <w:r w:rsidR="007B6512">
        <w:rPr>
          <w:rFonts w:ascii="Calibri" w:eastAsia="SimSun" w:hAnsi="Calibri" w:cs="Calibri"/>
          <w:i/>
          <w:iCs/>
          <w:kern w:val="1"/>
          <w:sz w:val="22"/>
          <w:szCs w:val="22"/>
          <w:highlight w:val="yellow"/>
          <w:lang w:eastAsia="hi-IN" w:bidi="hi-IN"/>
        </w:rPr>
        <w:t>pří</w:t>
      </w:r>
      <w:r w:rsidR="00085A62" w:rsidRPr="00020322">
        <w:rPr>
          <w:rFonts w:ascii="Calibri" w:eastAsia="SimSun" w:hAnsi="Calibri" w:cs="Calibri"/>
          <w:i/>
          <w:iCs/>
          <w:kern w:val="1"/>
          <w:sz w:val="22"/>
          <w:szCs w:val="22"/>
          <w:highlight w:val="yellow"/>
          <w:lang w:eastAsia="hi-IN" w:bidi="hi-IN"/>
        </w:rPr>
        <w:t xml:space="preserve">stroje: </w:t>
      </w:r>
      <w:r w:rsidR="007B6512">
        <w:rPr>
          <w:rFonts w:ascii="Calibri" w:eastAsia="SimSun" w:hAnsi="Calibri" w:cs="Calibri"/>
          <w:i/>
          <w:iCs/>
          <w:kern w:val="1"/>
          <w:sz w:val="22"/>
          <w:szCs w:val="22"/>
          <w:highlight w:val="yellow"/>
          <w:lang w:eastAsia="hi-IN" w:bidi="hi-IN"/>
        </w:rPr>
        <w:t>Ultrazvukový přístroj pro RDG Chrudimské nemocnice</w:t>
      </w:r>
      <w:r w:rsidR="00503326"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 xml:space="preserve">pro část č. </w:t>
      </w:r>
      <w:r w:rsidR="00D61FD0">
        <w:rPr>
          <w:rFonts w:ascii="Calibri" w:eastAsia="SimSun" w:hAnsi="Calibri" w:cs="Calibri"/>
          <w:i/>
          <w:iCs/>
          <w:kern w:val="1"/>
          <w:sz w:val="22"/>
          <w:szCs w:val="22"/>
          <w:highlight w:val="yellow"/>
          <w:lang w:eastAsia="hi-IN" w:bidi="hi-IN"/>
        </w:rPr>
        <w:t>3</w:t>
      </w:r>
      <w:r w:rsidR="00162D7E">
        <w:rPr>
          <w:rFonts w:ascii="Calibri" w:eastAsia="SimSun" w:hAnsi="Calibri" w:cs="Calibri"/>
          <w:i/>
          <w:iCs/>
          <w:kern w:val="1"/>
          <w:sz w:val="22"/>
          <w:szCs w:val="22"/>
          <w:highlight w:val="yellow"/>
          <w:lang w:eastAsia="hi-IN" w:bidi="hi-IN"/>
        </w:rPr>
        <w:t xml:space="preserve"> </w:t>
      </w:r>
      <w:r w:rsidR="00503326" w:rsidRPr="00020322">
        <w:rPr>
          <w:rFonts w:ascii="Calibri" w:eastAsia="SimSun" w:hAnsi="Calibri" w:cs="Calibri"/>
          <w:i/>
          <w:iCs/>
          <w:kern w:val="1"/>
          <w:sz w:val="22"/>
          <w:szCs w:val="22"/>
          <w:highlight w:val="yellow"/>
          <w:lang w:eastAsia="hi-IN" w:bidi="hi-IN"/>
        </w:rPr>
        <w:t>veřejné zakázky)</w:t>
      </w:r>
      <w:r w:rsidR="00503326" w:rsidRPr="00020322">
        <w:rPr>
          <w:rFonts w:ascii="Calibri" w:eastAsia="SimSun" w:hAnsi="Calibri" w:cs="Calibri"/>
          <w:i/>
          <w:iCs/>
          <w:kern w:val="1"/>
          <w:sz w:val="22"/>
          <w:szCs w:val="22"/>
          <w:lang w:eastAsia="hi-IN" w:bidi="hi-IN"/>
        </w:rPr>
        <w:t xml:space="preserve">, </w:t>
      </w:r>
      <w:r w:rsidR="00031235" w:rsidRPr="00020322">
        <w:rPr>
          <w:rFonts w:ascii="Calibri" w:eastAsia="SimSun" w:hAnsi="Calibri" w:cs="Calibri"/>
          <w:kern w:val="1"/>
          <w:sz w:val="22"/>
          <w:szCs w:val="22"/>
          <w:lang w:eastAsia="hi-IN" w:bidi="hi-IN"/>
        </w:rPr>
        <w:t>včetně veškerého příslušenství</w:t>
      </w:r>
      <w:r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Pr="00020322">
        <w:rPr>
          <w:rFonts w:ascii="Calibri" w:eastAsia="SimSun" w:hAnsi="Calibri" w:cs="Calibri"/>
          <w:kern w:val="1"/>
          <w:sz w:val="22"/>
          <w:szCs w:val="22"/>
          <w:lang w:eastAsia="hi-IN" w:bidi="hi-IN"/>
        </w:rPr>
        <w:t xml:space="preserve"> této smlouvy. </w:t>
      </w:r>
    </w:p>
    <w:p w14:paraId="1BC701A7" w14:textId="77777777" w:rsidR="001A5DAF" w:rsidRPr="003A7015" w:rsidRDefault="001A5DAF" w:rsidP="00592397">
      <w:pPr>
        <w:widowControl w:val="0"/>
        <w:numPr>
          <w:ilvl w:val="0"/>
          <w:numId w:val="16"/>
        </w:numPr>
        <w:tabs>
          <w:tab w:val="left" w:pos="426"/>
          <w:tab w:val="num" w:pos="709"/>
          <w:tab w:val="num" w:pos="1440"/>
        </w:tabs>
        <w:suppressAutoHyphens/>
        <w:spacing w:after="60"/>
        <w:ind w:hanging="436"/>
        <w:jc w:val="both"/>
        <w:rPr>
          <w:rFonts w:ascii="Calibri" w:hAnsi="Calibri" w:cs="Calibri"/>
        </w:rPr>
      </w:pPr>
      <w:r w:rsidRPr="003A7015">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3A7015">
      <w:pPr>
        <w:pStyle w:val="Odstavecseseznamem"/>
        <w:widowControl w:val="0"/>
        <w:numPr>
          <w:ilvl w:val="0"/>
          <w:numId w:val="28"/>
        </w:numPr>
        <w:tabs>
          <w:tab w:val="left" w:pos="851"/>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3A7015" w:rsidRDefault="00836966" w:rsidP="003A7015">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3A7015">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39CE1C50" w:rsidR="006A36A9" w:rsidRPr="003A7015" w:rsidRDefault="00E91E0D" w:rsidP="00592397">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3A7015">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77777777" w:rsidR="007E4749" w:rsidRPr="007D4423" w:rsidRDefault="007E474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592397">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623C14BF" w:rsidR="006A36A9" w:rsidRPr="00020322" w:rsidRDefault="006A36A9" w:rsidP="00592397">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0" w:name="_Hlk20150369"/>
      <w:r w:rsidR="00162D7E">
        <w:rPr>
          <w:rFonts w:ascii="Calibri" w:eastAsia="SimSun" w:hAnsi="Calibri" w:cs="Calibri"/>
          <w:i/>
          <w:iCs/>
          <w:kern w:val="1"/>
          <w:sz w:val="22"/>
          <w:szCs w:val="22"/>
          <w:highlight w:val="yellow"/>
          <w:lang w:eastAsia="hi-IN" w:bidi="hi-IN"/>
        </w:rPr>
        <w:t>Orlickoústecká nemocnice</w:t>
      </w:r>
      <w:r w:rsidR="007D4423" w:rsidRPr="00020322">
        <w:rPr>
          <w:rFonts w:ascii="Calibri" w:eastAsia="SimSun" w:hAnsi="Calibri" w:cs="Calibri"/>
          <w:i/>
          <w:iCs/>
          <w:kern w:val="1"/>
          <w:sz w:val="22"/>
          <w:szCs w:val="22"/>
          <w:highlight w:val="yellow"/>
          <w:lang w:eastAsia="hi-IN" w:bidi="hi-IN"/>
        </w:rPr>
        <w:t xml:space="preserve">, </w:t>
      </w:r>
      <w:r w:rsidR="00636C16">
        <w:rPr>
          <w:rFonts w:ascii="Calibri" w:eastAsia="SimSun" w:hAnsi="Calibri" w:cs="Calibri"/>
          <w:i/>
          <w:iCs/>
          <w:kern w:val="1"/>
          <w:sz w:val="22"/>
          <w:szCs w:val="22"/>
          <w:highlight w:val="yellow"/>
          <w:lang w:eastAsia="hi-IN" w:bidi="hi-IN"/>
        </w:rPr>
        <w:t>dětské oddělení,</w:t>
      </w:r>
      <w:r w:rsidR="00636C16" w:rsidRPr="00020322">
        <w:rPr>
          <w:rFonts w:ascii="Calibri" w:eastAsia="SimSun" w:hAnsi="Calibri" w:cs="Calibri"/>
          <w:i/>
          <w:iCs/>
          <w:kern w:val="1"/>
          <w:sz w:val="22"/>
          <w:szCs w:val="22"/>
          <w:highlight w:val="yellow"/>
          <w:lang w:eastAsia="hi-IN" w:bidi="hi-IN"/>
        </w:rPr>
        <w:t xml:space="preserve"> </w:t>
      </w:r>
      <w:r w:rsidR="00636C16" w:rsidRPr="00636C16">
        <w:rPr>
          <w:rFonts w:ascii="Calibri" w:eastAsia="SimSun" w:hAnsi="Calibri" w:cs="Calibri"/>
          <w:i/>
          <w:iCs/>
          <w:kern w:val="1"/>
          <w:sz w:val="22"/>
          <w:szCs w:val="22"/>
          <w:highlight w:val="yellow"/>
          <w:lang w:eastAsia="hi-IN" w:bidi="hi-IN"/>
        </w:rPr>
        <w:t>Čs. armády 1076, 562 18 Ústí nad Orlicí</w:t>
      </w:r>
      <w:r w:rsidR="00636C16">
        <w:rPr>
          <w:rFonts w:ascii="Calibri" w:eastAsia="SimSun" w:hAnsi="Calibri" w:cs="Calibri"/>
          <w:i/>
          <w:iCs/>
          <w:kern w:val="1"/>
          <w:sz w:val="22"/>
          <w:szCs w:val="22"/>
          <w:highlight w:val="yellow"/>
          <w:lang w:eastAsia="hi-IN" w:bidi="hi-IN"/>
        </w:rPr>
        <w:t xml:space="preserve">, </w:t>
      </w:r>
      <w:bookmarkEnd w:id="0"/>
      <w:r w:rsidR="00020322" w:rsidRPr="00020322">
        <w:rPr>
          <w:rFonts w:ascii="Calibri" w:eastAsia="SimSun" w:hAnsi="Calibri" w:cs="Calibri"/>
          <w:i/>
          <w:iCs/>
          <w:kern w:val="1"/>
          <w:sz w:val="22"/>
          <w:szCs w:val="22"/>
          <w:highlight w:val="yellow"/>
          <w:lang w:eastAsia="hi-IN" w:bidi="hi-IN"/>
        </w:rPr>
        <w:t xml:space="preserve">pro část č. </w:t>
      </w:r>
      <w:r w:rsidR="001E1D60" w:rsidRPr="00020322">
        <w:rPr>
          <w:rFonts w:ascii="Calibri" w:eastAsia="SimSun" w:hAnsi="Calibri" w:cs="Calibri"/>
          <w:i/>
          <w:iCs/>
          <w:kern w:val="1"/>
          <w:sz w:val="22"/>
          <w:szCs w:val="22"/>
          <w:highlight w:val="yellow"/>
          <w:lang w:eastAsia="hi-IN" w:bidi="hi-IN"/>
        </w:rPr>
        <w:t>1 veřejné zakázky</w:t>
      </w:r>
      <w:r w:rsidR="00020322" w:rsidRPr="00020322">
        <w:rPr>
          <w:rFonts w:ascii="Calibri" w:eastAsia="SimSun" w:hAnsi="Calibri" w:cs="Calibri"/>
          <w:i/>
          <w:iCs/>
          <w:kern w:val="1"/>
          <w:sz w:val="22"/>
          <w:szCs w:val="22"/>
          <w:highlight w:val="yellow"/>
          <w:lang w:eastAsia="hi-IN" w:bidi="hi-IN"/>
        </w:rPr>
        <w:t xml:space="preserve">, </w:t>
      </w:r>
      <w:r w:rsidR="00636C16">
        <w:rPr>
          <w:rFonts w:ascii="Calibri" w:eastAsia="SimSun" w:hAnsi="Calibri" w:cs="Calibri"/>
          <w:i/>
          <w:iCs/>
          <w:kern w:val="1"/>
          <w:sz w:val="22"/>
          <w:szCs w:val="22"/>
          <w:highlight w:val="yellow"/>
          <w:lang w:eastAsia="hi-IN" w:bidi="hi-IN"/>
        </w:rPr>
        <w:t>Pardubická nemocnice</w:t>
      </w:r>
      <w:r w:rsidR="00E228EC" w:rsidRPr="00020322">
        <w:rPr>
          <w:rFonts w:ascii="Calibri" w:eastAsia="SimSun" w:hAnsi="Calibri" w:cs="Calibri"/>
          <w:i/>
          <w:iCs/>
          <w:kern w:val="1"/>
          <w:sz w:val="22"/>
          <w:szCs w:val="22"/>
          <w:highlight w:val="yellow"/>
          <w:lang w:eastAsia="hi-IN" w:bidi="hi-IN"/>
        </w:rPr>
        <w:t xml:space="preserve">, </w:t>
      </w:r>
      <w:r w:rsidR="00636C16">
        <w:rPr>
          <w:rFonts w:ascii="Calibri" w:eastAsia="SimSun" w:hAnsi="Calibri" w:cs="Calibri"/>
          <w:i/>
          <w:iCs/>
          <w:kern w:val="1"/>
          <w:sz w:val="22"/>
          <w:szCs w:val="22"/>
          <w:highlight w:val="yellow"/>
          <w:lang w:eastAsia="hi-IN" w:bidi="hi-IN"/>
        </w:rPr>
        <w:t xml:space="preserve">oddělení urologie, </w:t>
      </w:r>
      <w:r w:rsidR="00636C16" w:rsidRPr="00636C16">
        <w:rPr>
          <w:rFonts w:ascii="Calibri" w:eastAsia="SimSun" w:hAnsi="Calibri" w:cs="Calibri"/>
          <w:i/>
          <w:iCs/>
          <w:kern w:val="1"/>
          <w:sz w:val="22"/>
          <w:szCs w:val="22"/>
          <w:highlight w:val="yellow"/>
          <w:lang w:eastAsia="hi-IN" w:bidi="hi-IN"/>
        </w:rPr>
        <w:t>Kyjevská 44, 532 03 Pardubice</w:t>
      </w:r>
      <w:r w:rsidR="00E228EC"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pro část č.</w:t>
      </w:r>
      <w:r w:rsidR="00E228EC" w:rsidRPr="00020322">
        <w:rPr>
          <w:rFonts w:ascii="Calibri" w:eastAsia="SimSun" w:hAnsi="Calibri" w:cs="Calibri"/>
          <w:i/>
          <w:iCs/>
          <w:kern w:val="1"/>
          <w:sz w:val="22"/>
          <w:szCs w:val="22"/>
          <w:highlight w:val="yellow"/>
          <w:lang w:eastAsia="hi-IN" w:bidi="hi-IN"/>
        </w:rPr>
        <w:t xml:space="preserve"> 2 veřejné zakázky</w:t>
      </w:r>
      <w:r w:rsidR="00020322" w:rsidRPr="00020322">
        <w:rPr>
          <w:rFonts w:ascii="Calibri" w:eastAsia="SimSun" w:hAnsi="Calibri" w:cs="Calibri"/>
          <w:i/>
          <w:iCs/>
          <w:kern w:val="1"/>
          <w:sz w:val="22"/>
          <w:szCs w:val="22"/>
          <w:highlight w:val="yellow"/>
          <w:lang w:eastAsia="hi-IN" w:bidi="hi-IN"/>
        </w:rPr>
        <w:t xml:space="preserve">, </w:t>
      </w:r>
      <w:r w:rsidR="00985AB3">
        <w:rPr>
          <w:rFonts w:ascii="Calibri" w:eastAsia="SimSun" w:hAnsi="Calibri" w:cs="Calibri"/>
          <w:i/>
          <w:iCs/>
          <w:kern w:val="1"/>
          <w:sz w:val="22"/>
          <w:szCs w:val="22"/>
          <w:highlight w:val="yellow"/>
          <w:lang w:eastAsia="hi-IN" w:bidi="hi-IN"/>
        </w:rPr>
        <w:t>Chrudimská</w:t>
      </w:r>
      <w:r w:rsidR="00120351" w:rsidRPr="00020322">
        <w:rPr>
          <w:rFonts w:ascii="Calibri" w:eastAsia="SimSun" w:hAnsi="Calibri" w:cs="Calibri"/>
          <w:i/>
          <w:iCs/>
          <w:kern w:val="1"/>
          <w:sz w:val="22"/>
          <w:szCs w:val="22"/>
          <w:highlight w:val="yellow"/>
          <w:lang w:eastAsia="hi-IN" w:bidi="hi-IN"/>
        </w:rPr>
        <w:t xml:space="preserve"> nemocnice, </w:t>
      </w:r>
      <w:r w:rsidR="00985AB3">
        <w:rPr>
          <w:rFonts w:ascii="Calibri" w:eastAsia="SimSun" w:hAnsi="Calibri" w:cs="Calibri"/>
          <w:i/>
          <w:iCs/>
          <w:kern w:val="1"/>
          <w:sz w:val="22"/>
          <w:szCs w:val="22"/>
          <w:highlight w:val="yellow"/>
          <w:lang w:eastAsia="hi-IN" w:bidi="hi-IN"/>
        </w:rPr>
        <w:t xml:space="preserve">RDG, </w:t>
      </w:r>
      <w:r w:rsidR="00985AB3" w:rsidRPr="00985AB3">
        <w:rPr>
          <w:rFonts w:ascii="Calibri" w:eastAsia="SimSun" w:hAnsi="Calibri" w:cs="Calibri"/>
          <w:i/>
          <w:iCs/>
          <w:kern w:val="1"/>
          <w:sz w:val="22"/>
          <w:szCs w:val="22"/>
          <w:highlight w:val="yellow"/>
          <w:lang w:eastAsia="hi-IN" w:bidi="hi-IN"/>
        </w:rPr>
        <w:t>Václavská 570, 537 27 Chrudim</w:t>
      </w:r>
      <w:r w:rsidR="00120351" w:rsidRPr="00020322">
        <w:rPr>
          <w:rFonts w:ascii="Calibri" w:eastAsia="SimSun" w:hAnsi="Calibri" w:cs="Calibri"/>
          <w:i/>
          <w:iCs/>
          <w:kern w:val="1"/>
          <w:sz w:val="22"/>
          <w:szCs w:val="22"/>
          <w:highlight w:val="yellow"/>
          <w:lang w:eastAsia="hi-IN" w:bidi="hi-IN"/>
        </w:rPr>
        <w:t xml:space="preserve">, </w:t>
      </w:r>
      <w:r w:rsidR="00020322" w:rsidRPr="00020322">
        <w:rPr>
          <w:rFonts w:ascii="Calibri" w:eastAsia="SimSun" w:hAnsi="Calibri" w:cs="Calibri"/>
          <w:i/>
          <w:iCs/>
          <w:kern w:val="1"/>
          <w:sz w:val="22"/>
          <w:szCs w:val="22"/>
          <w:highlight w:val="yellow"/>
          <w:lang w:eastAsia="hi-IN" w:bidi="hi-IN"/>
        </w:rPr>
        <w:t>pro část</w:t>
      </w:r>
      <w:r w:rsidR="00120351" w:rsidRPr="00020322">
        <w:rPr>
          <w:rFonts w:ascii="Calibri" w:eastAsia="SimSun" w:hAnsi="Calibri" w:cs="Calibri"/>
          <w:i/>
          <w:iCs/>
          <w:kern w:val="1"/>
          <w:sz w:val="22"/>
          <w:szCs w:val="22"/>
          <w:highlight w:val="yellow"/>
          <w:lang w:eastAsia="hi-IN" w:bidi="hi-IN"/>
        </w:rPr>
        <w:t xml:space="preserve"> </w:t>
      </w:r>
      <w:r w:rsidR="00D61FD0">
        <w:rPr>
          <w:rFonts w:ascii="Calibri" w:eastAsia="SimSun" w:hAnsi="Calibri" w:cs="Calibri"/>
          <w:i/>
          <w:iCs/>
          <w:kern w:val="1"/>
          <w:sz w:val="22"/>
          <w:szCs w:val="22"/>
          <w:highlight w:val="yellow"/>
          <w:lang w:eastAsia="hi-IN" w:bidi="hi-IN"/>
        </w:rPr>
        <w:t>3</w:t>
      </w:r>
      <w:r w:rsidR="00120351" w:rsidRPr="00020322">
        <w:rPr>
          <w:rFonts w:ascii="Calibri" w:eastAsia="SimSun" w:hAnsi="Calibri" w:cs="Calibri"/>
          <w:i/>
          <w:iCs/>
          <w:kern w:val="1"/>
          <w:sz w:val="22"/>
          <w:szCs w:val="22"/>
          <w:highlight w:val="yellow"/>
          <w:lang w:eastAsia="hi-IN" w:bidi="hi-IN"/>
        </w:rPr>
        <w:t xml:space="preserve"> veřejné zakázky)</w:t>
      </w:r>
      <w:r w:rsidR="00120351" w:rsidRPr="00020322">
        <w:rPr>
          <w:rFonts w:ascii="Calibri" w:eastAsia="SimSun" w:hAnsi="Calibri" w:cs="Calibri"/>
          <w:kern w:val="1"/>
          <w:sz w:val="22"/>
          <w:szCs w:val="22"/>
          <w:highlight w:val="yellow"/>
          <w:lang w:eastAsia="hi-IN" w:bidi="hi-IN"/>
        </w:rPr>
        <w:t xml:space="preserve"> </w:t>
      </w:r>
      <w:r w:rsidRPr="00020322">
        <w:rPr>
          <w:rFonts w:ascii="Calibri" w:eastAsia="SimSun" w:hAnsi="Calibri" w:cs="Calibri"/>
          <w:kern w:val="1"/>
          <w:sz w:val="22"/>
          <w:szCs w:val="22"/>
          <w:lang w:eastAsia="hi-IN" w:bidi="hi-IN"/>
        </w:rPr>
        <w:t xml:space="preserve">do </w:t>
      </w:r>
      <w:r w:rsidR="009F261B" w:rsidRPr="00020322">
        <w:rPr>
          <w:rFonts w:ascii="Calibri" w:eastAsia="SimSun" w:hAnsi="Calibri" w:cs="Calibri"/>
          <w:kern w:val="1"/>
          <w:sz w:val="22"/>
          <w:szCs w:val="22"/>
          <w:lang w:eastAsia="hi-IN" w:bidi="hi-IN"/>
        </w:rPr>
        <w:t>6</w:t>
      </w:r>
      <w:r w:rsidRPr="00020322">
        <w:rPr>
          <w:rFonts w:ascii="Calibri" w:eastAsia="SimSun" w:hAnsi="Calibri" w:cs="Calibri"/>
          <w:kern w:val="1"/>
          <w:sz w:val="22"/>
          <w:szCs w:val="22"/>
          <w:lang w:eastAsia="hi-IN" w:bidi="hi-IN"/>
        </w:rPr>
        <w:t xml:space="preserve"> </w:t>
      </w:r>
      <w:r w:rsidR="007A42E8" w:rsidRPr="00020322">
        <w:rPr>
          <w:rFonts w:ascii="Calibri" w:eastAsia="SimSun" w:hAnsi="Calibri" w:cs="Calibri"/>
          <w:kern w:val="1"/>
          <w:sz w:val="22"/>
          <w:szCs w:val="22"/>
          <w:lang w:eastAsia="hi-IN" w:bidi="hi-IN"/>
        </w:rPr>
        <w:t>týdnů</w:t>
      </w:r>
      <w:r w:rsidRPr="00020322">
        <w:rPr>
          <w:rFonts w:ascii="Calibri" w:eastAsia="SimSun" w:hAnsi="Calibri" w:cs="Calibri"/>
          <w:kern w:val="1"/>
          <w:sz w:val="22"/>
          <w:szCs w:val="22"/>
          <w:lang w:eastAsia="hi-IN" w:bidi="hi-IN"/>
        </w:rPr>
        <w:t xml:space="preserve"> od </w:t>
      </w:r>
      <w:r w:rsidR="007A42E8" w:rsidRPr="00020322">
        <w:rPr>
          <w:rFonts w:ascii="Calibri" w:eastAsia="SimSun" w:hAnsi="Calibri" w:cs="Calibri"/>
          <w:kern w:val="1"/>
          <w:sz w:val="22"/>
          <w:szCs w:val="22"/>
          <w:lang w:eastAsia="hi-IN" w:bidi="hi-IN"/>
        </w:rPr>
        <w:t>nabytí</w:t>
      </w:r>
      <w:r w:rsidRPr="00020322">
        <w:rPr>
          <w:rFonts w:ascii="Calibri" w:eastAsia="SimSun" w:hAnsi="Calibri" w:cs="Calibri"/>
          <w:kern w:val="1"/>
          <w:sz w:val="22"/>
          <w:szCs w:val="22"/>
          <w:lang w:eastAsia="hi-IN" w:bidi="hi-IN"/>
        </w:rPr>
        <w:t xml:space="preserve"> </w:t>
      </w:r>
      <w:r w:rsidR="00CB32A5" w:rsidRPr="00020322">
        <w:rPr>
          <w:rFonts w:ascii="Calibri" w:eastAsia="SimSun" w:hAnsi="Calibri" w:cs="Calibri"/>
          <w:kern w:val="1"/>
          <w:sz w:val="22"/>
          <w:szCs w:val="22"/>
          <w:lang w:eastAsia="hi-IN" w:bidi="hi-IN"/>
        </w:rPr>
        <w:t xml:space="preserve">účinnosti </w:t>
      </w:r>
      <w:r w:rsidR="007A42E8" w:rsidRPr="00020322">
        <w:rPr>
          <w:rFonts w:ascii="Calibri" w:eastAsia="SimSun" w:hAnsi="Calibri" w:cs="Calibri"/>
          <w:kern w:val="1"/>
          <w:sz w:val="22"/>
          <w:szCs w:val="22"/>
          <w:lang w:eastAsia="hi-IN" w:bidi="hi-IN"/>
        </w:rPr>
        <w:t xml:space="preserve">Kupní </w:t>
      </w:r>
      <w:r w:rsidR="001C5CE9" w:rsidRPr="00020322">
        <w:rPr>
          <w:rFonts w:ascii="Calibri" w:eastAsia="SimSun" w:hAnsi="Calibri" w:cs="Calibri"/>
          <w:kern w:val="1"/>
          <w:sz w:val="22"/>
          <w:szCs w:val="22"/>
          <w:lang w:eastAsia="hi-IN" w:bidi="hi-IN"/>
        </w:rPr>
        <w:t>smlouvy, která nastává dne</w:t>
      </w:r>
      <w:r w:rsidR="00120351" w:rsidRPr="00020322">
        <w:rPr>
          <w:rFonts w:ascii="Calibri" w:eastAsia="SimSun" w:hAnsi="Calibri" w:cs="Calibri"/>
          <w:kern w:val="1"/>
          <w:sz w:val="22"/>
          <w:szCs w:val="22"/>
          <w:lang w:eastAsia="hi-IN" w:bidi="hi-IN"/>
        </w:rPr>
        <w:t>m</w:t>
      </w:r>
      <w:r w:rsidR="001C5CE9" w:rsidRPr="00020322">
        <w:rPr>
          <w:rFonts w:ascii="Calibri" w:eastAsia="SimSun" w:hAnsi="Calibri" w:cs="Calibri"/>
          <w:kern w:val="1"/>
          <w:sz w:val="22"/>
          <w:szCs w:val="22"/>
          <w:lang w:eastAsia="hi-IN" w:bidi="hi-IN"/>
        </w:rPr>
        <w:t xml:space="preserve"> uveřejnění v registru smluv.</w:t>
      </w:r>
    </w:p>
    <w:p w14:paraId="1497898A" w14:textId="295463EF" w:rsidR="004A44B7" w:rsidRPr="00120351" w:rsidRDefault="006A36A9" w:rsidP="00592397">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77777777" w:rsidR="0093122C" w:rsidRDefault="0093122C" w:rsidP="0093122C">
      <w:pPr>
        <w:pStyle w:val="Bezmezer"/>
        <w:ind w:left="720"/>
        <w:jc w:val="both"/>
      </w:pPr>
      <w:r>
        <w:t>z ceny za pořízení přístrojového vybavení. Tato cena zahrnuje veškeré náklady související s plněním předmětu koupě kromě nákladů na instruktáž personálu:</w:t>
      </w:r>
    </w:p>
    <w:p w14:paraId="24F1922F" w14:textId="77777777" w:rsidR="0093122C" w:rsidRDefault="0093122C" w:rsidP="0093122C">
      <w:pPr>
        <w:ind w:left="709"/>
        <w:jc w:val="both"/>
        <w:rPr>
          <w:rFonts w:cs="Calibri"/>
          <w:szCs w:val="22"/>
        </w:rPr>
      </w:pPr>
    </w:p>
    <w:p w14:paraId="6281D3DD" w14:textId="77777777" w:rsidR="0093122C" w:rsidRDefault="0093122C" w:rsidP="0093122C">
      <w:pPr>
        <w:pStyle w:val="Bezmezer"/>
        <w:spacing w:line="276" w:lineRule="auto"/>
        <w:ind w:left="7" w:firstLine="702"/>
        <w:jc w:val="both"/>
        <w:rPr>
          <w:b/>
        </w:rPr>
      </w:pPr>
      <w:r>
        <w:t xml:space="preserve">Cena bez DPH činí:       </w:t>
      </w:r>
      <w:r>
        <w:tab/>
        <w:t xml:space="preserve">……………………………………Kč </w:t>
      </w:r>
    </w:p>
    <w:p w14:paraId="29A9A75E" w14:textId="77777777"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t>……………………………………Kč</w:t>
      </w:r>
    </w:p>
    <w:p w14:paraId="6C869212" w14:textId="77777777" w:rsidR="0093122C" w:rsidRDefault="0093122C" w:rsidP="0093122C">
      <w:pPr>
        <w:ind w:left="135"/>
        <w:jc w:val="both"/>
        <w:rPr>
          <w:rFonts w:cs="Calibri"/>
          <w:szCs w:val="22"/>
        </w:rPr>
      </w:pPr>
    </w:p>
    <w:p w14:paraId="019E9CFA" w14:textId="77777777" w:rsidR="0093122C" w:rsidRDefault="0093122C" w:rsidP="0093122C">
      <w:pPr>
        <w:ind w:left="135" w:firstLine="574"/>
        <w:jc w:val="both"/>
        <w:rPr>
          <w:rFonts w:cs="Calibri"/>
          <w:szCs w:val="22"/>
        </w:rPr>
      </w:pPr>
      <w:r>
        <w:rPr>
          <w:rFonts w:cs="Calibri"/>
          <w:szCs w:val="22"/>
        </w:rPr>
        <w:t>a</w:t>
      </w:r>
    </w:p>
    <w:p w14:paraId="3CF8CD9B" w14:textId="77777777" w:rsidR="0093122C" w:rsidRDefault="0093122C" w:rsidP="0093122C">
      <w:pPr>
        <w:ind w:left="135"/>
        <w:jc w:val="both"/>
        <w:rPr>
          <w:rFonts w:cs="Calibri"/>
          <w:szCs w:val="22"/>
        </w:rPr>
      </w:pPr>
    </w:p>
    <w:p w14:paraId="2FF48249" w14:textId="77777777" w:rsidR="0093122C" w:rsidRDefault="0093122C" w:rsidP="0093122C">
      <w:pPr>
        <w:pStyle w:val="Odstavecseseznamem"/>
        <w:jc w:val="both"/>
        <w:rPr>
          <w:rFonts w:ascii="Calibri" w:hAnsi="Calibri" w:cs="Calibri"/>
          <w:sz w:val="22"/>
          <w:szCs w:val="22"/>
        </w:rPr>
      </w:pPr>
      <w:r>
        <w:rPr>
          <w:rFonts w:ascii="Calibri" w:hAnsi="Calibri" w:cs="Calibri"/>
          <w:sz w:val="22"/>
          <w:szCs w:val="22"/>
        </w:rPr>
        <w:t>z ceny za instruktáž personálu podle zákona č. 268/2014 Sb., o zdravotních prostředcích, v platném znění:</w:t>
      </w:r>
    </w:p>
    <w:p w14:paraId="5236FAB1" w14:textId="77777777" w:rsidR="0093122C" w:rsidRDefault="0093122C" w:rsidP="0093122C">
      <w:pPr>
        <w:ind w:left="709"/>
        <w:jc w:val="both"/>
        <w:rPr>
          <w:rFonts w:ascii="Calibri" w:hAnsi="Calibri" w:cs="Calibri"/>
          <w:sz w:val="22"/>
          <w:szCs w:val="22"/>
        </w:rPr>
      </w:pPr>
    </w:p>
    <w:p w14:paraId="223C3FC7" w14:textId="77777777" w:rsidR="0093122C" w:rsidRDefault="0093122C" w:rsidP="0093122C">
      <w:pPr>
        <w:pStyle w:val="Bezmezer"/>
        <w:spacing w:line="276" w:lineRule="auto"/>
        <w:ind w:left="567" w:firstLine="142"/>
        <w:jc w:val="both"/>
        <w:rPr>
          <w:b/>
        </w:rPr>
      </w:pPr>
      <w:r>
        <w:t xml:space="preserve">Cena bez DPH činí:       </w:t>
      </w:r>
      <w:r>
        <w:tab/>
        <w:t xml:space="preserve">………………………………………Kč </w:t>
      </w:r>
    </w:p>
    <w:p w14:paraId="1F88C7F4" w14:textId="6EC16160" w:rsidR="0093122C" w:rsidRPr="0093122C" w:rsidRDefault="003A7015" w:rsidP="0093122C">
      <w:pPr>
        <w:widowControl w:val="0"/>
        <w:tabs>
          <w:tab w:val="left" w:pos="360"/>
          <w:tab w:val="left" w:pos="567"/>
        </w:tabs>
        <w:suppressAutoHyphens/>
        <w:spacing w:after="60" w:line="480" w:lineRule="auto"/>
        <w:jc w:val="both"/>
        <w:rPr>
          <w:rFonts w:ascii="Calibri" w:eastAsia="SimSun" w:hAnsi="Calibri" w:cs="Calibri"/>
          <w:b/>
          <w:iCs/>
          <w:kern w:val="1"/>
          <w:sz w:val="22"/>
          <w:szCs w:val="22"/>
          <w:lang w:eastAsia="hi-IN" w:bidi="hi-IN"/>
        </w:rPr>
      </w:pPr>
      <w:r>
        <w:rPr>
          <w:rFonts w:ascii="Calibri" w:hAnsi="Calibri" w:cs="Calibri"/>
          <w:sz w:val="22"/>
          <w:szCs w:val="22"/>
        </w:rPr>
        <w:t xml:space="preserve">              </w:t>
      </w:r>
      <w:r w:rsidR="0093122C">
        <w:rPr>
          <w:rFonts w:ascii="Calibri" w:hAnsi="Calibri" w:cs="Calibri"/>
          <w:sz w:val="22"/>
          <w:szCs w:val="22"/>
        </w:rPr>
        <w:t>Cena včetně DPH činí:</w:t>
      </w:r>
      <w:r w:rsidR="0093122C">
        <w:rPr>
          <w:rFonts w:ascii="Calibri" w:hAnsi="Calibri" w:cs="Calibri"/>
          <w:b/>
          <w:sz w:val="22"/>
          <w:szCs w:val="22"/>
        </w:rPr>
        <w:t xml:space="preserve"> </w:t>
      </w:r>
      <w:r w:rsidR="0093122C">
        <w:rPr>
          <w:rFonts w:ascii="Calibri" w:hAnsi="Calibri" w:cs="Calibri"/>
          <w:b/>
          <w:sz w:val="22"/>
          <w:szCs w:val="22"/>
        </w:rPr>
        <w:tab/>
      </w:r>
      <w:r w:rsidR="0093122C">
        <w:rPr>
          <w:rFonts w:ascii="Calibri" w:hAnsi="Calibri" w:cs="Calibri"/>
          <w:sz w:val="22"/>
          <w:szCs w:val="22"/>
        </w:rPr>
        <w:t>………………………………………Kč.</w:t>
      </w:r>
    </w:p>
    <w:p w14:paraId="1F4CB992" w14:textId="77777777"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92397">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w:t>
      </w:r>
      <w:r w:rsidRPr="007D4423">
        <w:rPr>
          <w:rFonts w:ascii="Calibri" w:eastAsia="SimSun" w:hAnsi="Calibri" w:cs="Calibri"/>
          <w:kern w:val="1"/>
          <w:sz w:val="22"/>
          <w:szCs w:val="22"/>
          <w:lang w:eastAsia="hi-IN" w:bidi="hi-IN"/>
        </w:rPr>
        <w:lastRenderedPageBreak/>
        <w:t xml:space="preserve">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DF8F316"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72924232" w:rsidR="001041C2" w:rsidRPr="007804AA" w:rsidRDefault="001041C2" w:rsidP="00592397">
      <w:pPr>
        <w:widowControl w:val="0"/>
        <w:numPr>
          <w:ilvl w:val="0"/>
          <w:numId w:val="17"/>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7804AA">
        <w:rPr>
          <w:rFonts w:ascii="Calibri" w:eastAsia="SimSun" w:hAnsi="Calibri" w:cs="Calibri"/>
          <w:i/>
          <w:iCs/>
          <w:kern w:val="1"/>
          <w:sz w:val="22"/>
          <w:szCs w:val="22"/>
          <w:highlight w:val="yellow"/>
          <w:lang w:eastAsia="hi-IN" w:bidi="hi-IN"/>
        </w:rPr>
        <w:t>Daňový doklad (faktura) bude obsahovat identifikační číslo projektu: „CZ.06.2.56/0.0/0.0/16_043/</w:t>
      </w:r>
      <w:r w:rsidR="00096B62" w:rsidRPr="007804AA">
        <w:rPr>
          <w:rFonts w:ascii="Calibri" w:eastAsia="SimSun" w:hAnsi="Calibri" w:cs="Calibri"/>
          <w:i/>
          <w:iCs/>
          <w:kern w:val="1"/>
          <w:sz w:val="22"/>
          <w:szCs w:val="22"/>
          <w:highlight w:val="yellow"/>
          <w:lang w:eastAsia="hi-IN" w:bidi="hi-IN"/>
        </w:rPr>
        <w:t>00015</w:t>
      </w:r>
      <w:r w:rsidR="00096B62">
        <w:rPr>
          <w:rFonts w:ascii="Calibri" w:eastAsia="SimSun" w:hAnsi="Calibri" w:cs="Calibri"/>
          <w:i/>
          <w:iCs/>
          <w:kern w:val="1"/>
          <w:sz w:val="22"/>
          <w:szCs w:val="22"/>
          <w:highlight w:val="yellow"/>
          <w:lang w:eastAsia="hi-IN" w:bidi="hi-IN"/>
        </w:rPr>
        <w:t>4</w:t>
      </w:r>
      <w:r w:rsidR="0093122C">
        <w:rPr>
          <w:rFonts w:ascii="Calibri" w:eastAsia="SimSun" w:hAnsi="Calibri" w:cs="Calibri"/>
          <w:i/>
          <w:iCs/>
          <w:kern w:val="1"/>
          <w:sz w:val="22"/>
          <w:szCs w:val="22"/>
          <w:highlight w:val="yellow"/>
          <w:lang w:eastAsia="hi-IN" w:bidi="hi-IN"/>
        </w:rPr>
        <w:t>1</w:t>
      </w:r>
      <w:r w:rsidRPr="007804AA">
        <w:rPr>
          <w:rFonts w:ascii="Calibri" w:eastAsia="SimSun" w:hAnsi="Calibri" w:cs="Calibri"/>
          <w:i/>
          <w:iCs/>
          <w:kern w:val="1"/>
          <w:sz w:val="22"/>
          <w:szCs w:val="22"/>
          <w:highlight w:val="yellow"/>
          <w:lang w:eastAsia="hi-IN" w:bidi="hi-IN"/>
        </w:rPr>
        <w:t>“ a zároveň „P19_01</w:t>
      </w:r>
      <w:proofErr w:type="gramStart"/>
      <w:r w:rsidRPr="007804AA">
        <w:rPr>
          <w:rFonts w:ascii="Calibri" w:eastAsia="SimSun" w:hAnsi="Calibri" w:cs="Calibri"/>
          <w:i/>
          <w:iCs/>
          <w:kern w:val="1"/>
          <w:sz w:val="22"/>
          <w:szCs w:val="22"/>
          <w:highlight w:val="yellow"/>
          <w:lang w:eastAsia="hi-IN" w:bidi="hi-IN"/>
        </w:rPr>
        <w:t>“</w:t>
      </w:r>
      <w:r w:rsidR="0059677A" w:rsidRPr="007804AA">
        <w:rPr>
          <w:rFonts w:ascii="Calibri" w:eastAsia="SimSun" w:hAnsi="Calibri" w:cs="Calibri"/>
          <w:i/>
          <w:iCs/>
          <w:kern w:val="1"/>
          <w:sz w:val="22"/>
          <w:szCs w:val="22"/>
          <w:highlight w:val="yellow"/>
          <w:lang w:eastAsia="hi-IN" w:bidi="hi-IN"/>
        </w:rPr>
        <w:t>.(</w:t>
      </w:r>
      <w:proofErr w:type="gramEnd"/>
      <w:r w:rsidR="0059677A" w:rsidRPr="007804AA">
        <w:rPr>
          <w:rFonts w:ascii="Calibri" w:eastAsia="SimSun" w:hAnsi="Calibri" w:cs="Calibri"/>
          <w:i/>
          <w:iCs/>
          <w:kern w:val="1"/>
          <w:sz w:val="22"/>
          <w:szCs w:val="22"/>
          <w:highlight w:val="yellow"/>
          <w:lang w:eastAsia="hi-IN" w:bidi="hi-IN"/>
        </w:rPr>
        <w:t>Tento odstavec zůstane v případě nabídky do části 2 veřejné zakázky, která je hrazena z IROP)</w:t>
      </w:r>
    </w:p>
    <w:p w14:paraId="09035797" w14:textId="77777777" w:rsidR="00E95569" w:rsidRPr="00DA3510"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92397">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92397">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92397">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268EE567" w:rsidR="008E76A1" w:rsidRDefault="006A36A9"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592397">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3036055" w:rsidR="005F253D" w:rsidRPr="002050D5" w:rsidRDefault="006A36A9" w:rsidP="00592397">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BA75DD">
        <w:rPr>
          <w:rFonts w:ascii="Calibri" w:eastAsia="SimSun" w:hAnsi="Calibri" w:cs="Calibri"/>
          <w:kern w:val="1"/>
          <w:sz w:val="22"/>
          <w:szCs w:val="22"/>
          <w:lang w:eastAsia="hi-IN" w:bidi="hi-IN"/>
        </w:rPr>
        <w:t>24</w:t>
      </w:r>
      <w:r w:rsidR="00096B62"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1403C8BC"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bookmarkStart w:id="1" w:name="_GoBack"/>
      <w:bookmarkEnd w:id="1"/>
    </w:p>
    <w:p w14:paraId="476117CE"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7FE9A9A6" w:rsidR="006A36A9" w:rsidRPr="00133407"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59239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592397">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592397">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59239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592397">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592397">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77777777" w:rsidR="00F970BC" w:rsidRDefault="006A36A9"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Tato smlouva nabývá platnosti dnem jejího podpisu oběma smluvními stranami a </w:t>
      </w:r>
      <w:r w:rsidR="00F970BC" w:rsidRPr="007D4423">
        <w:rPr>
          <w:rFonts w:ascii="Calibri" w:eastAsia="SimSun" w:hAnsi="Calibri" w:cs="Calibri"/>
          <w:kern w:val="2"/>
          <w:sz w:val="22"/>
          <w:szCs w:val="22"/>
          <w:lang w:eastAsia="hi-IN" w:bidi="hi-IN"/>
        </w:rPr>
        <w:t xml:space="preserve">účinnosti dnem uveřejnění v registru smluv. </w:t>
      </w:r>
    </w:p>
    <w:p w14:paraId="12866FAB" w14:textId="77777777" w:rsidR="001041C2" w:rsidRPr="001041C2" w:rsidRDefault="001041C2"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592397">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Smluvní strany shodně prohlašují, že si smlouvu před jejím podpisem přečetly a že byla uzavřena po </w:t>
      </w:r>
      <w:r w:rsidRPr="007D4423">
        <w:rPr>
          <w:rFonts w:ascii="Calibri" w:eastAsia="SimSun" w:hAnsi="Calibri" w:cs="Calibri"/>
          <w:kern w:val="1"/>
          <w:sz w:val="22"/>
          <w:szCs w:val="22"/>
          <w:lang w:eastAsia="hi-IN" w:bidi="hi-IN"/>
        </w:rPr>
        <w:lastRenderedPageBreak/>
        <w:t>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592397">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2"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2"/>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3"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3"/>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lastRenderedPageBreak/>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CD312" w14:textId="77777777" w:rsidR="00562475" w:rsidRDefault="00562475" w:rsidP="009B0C36">
      <w:r>
        <w:separator/>
      </w:r>
    </w:p>
  </w:endnote>
  <w:endnote w:type="continuationSeparator" w:id="0">
    <w:p w14:paraId="7C6DAE02" w14:textId="77777777" w:rsidR="00562475" w:rsidRDefault="0056247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1845892E" w14:textId="622F6050" w:rsidR="00532F40" w:rsidRPr="00180E2E" w:rsidRDefault="00532F40" w:rsidP="00532F4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Název projektu: „</w:t>
        </w:r>
        <w:r w:rsidR="00ED5FFF">
          <w:rPr>
            <w:rFonts w:ascii="Calibri" w:hAnsi="Calibri" w:cs="Calibri"/>
            <w:i/>
            <w:iCs/>
            <w:sz w:val="20"/>
            <w:szCs w:val="20"/>
          </w:rPr>
          <w:t>Zobrazovací techniky UZ</w:t>
        </w:r>
        <w:r w:rsidRPr="00180E2E">
          <w:rPr>
            <w:rFonts w:ascii="Calibri" w:hAnsi="Calibri" w:cs="Calibri"/>
            <w:i/>
            <w:iCs/>
            <w:sz w:val="20"/>
            <w:szCs w:val="20"/>
          </w:rPr>
          <w:t xml:space="preserve">“, </w:t>
        </w:r>
      </w:p>
      <w:p w14:paraId="3EAC6CFF" w14:textId="4606B82A" w:rsidR="00532F40" w:rsidRPr="00180E2E" w:rsidRDefault="00532F40" w:rsidP="00532F40">
        <w:pPr>
          <w:pStyle w:val="Zpat"/>
          <w:tabs>
            <w:tab w:val="left" w:pos="6330"/>
            <w:tab w:val="right" w:pos="9864"/>
          </w:tabs>
          <w:rPr>
            <w:rFonts w:ascii="Calibri" w:hAnsi="Calibri" w:cs="Calibri"/>
            <w:i/>
            <w:iCs/>
            <w:sz w:val="20"/>
            <w:szCs w:val="20"/>
          </w:rPr>
        </w:pPr>
        <w:proofErr w:type="spellStart"/>
        <w:r w:rsidRPr="00180E2E">
          <w:rPr>
            <w:rFonts w:ascii="Calibri" w:hAnsi="Calibri" w:cs="Calibri"/>
            <w:i/>
            <w:iCs/>
            <w:sz w:val="20"/>
            <w:szCs w:val="20"/>
          </w:rPr>
          <w:t>reg</w:t>
        </w:r>
        <w:proofErr w:type="spellEnd"/>
        <w:r w:rsidRPr="00180E2E">
          <w:rPr>
            <w:rFonts w:ascii="Calibri" w:hAnsi="Calibri" w:cs="Calibri"/>
            <w:i/>
            <w:iCs/>
            <w:sz w:val="20"/>
            <w:szCs w:val="20"/>
          </w:rPr>
          <w:t>. č. CZ.06.2.56/0.0/0.0/16_043/00015</w:t>
        </w:r>
        <w:r w:rsidR="00EC006E" w:rsidRPr="00180E2E">
          <w:rPr>
            <w:rFonts w:ascii="Calibri" w:hAnsi="Calibri" w:cs="Calibri"/>
            <w:i/>
            <w:iCs/>
            <w:sz w:val="20"/>
            <w:szCs w:val="20"/>
          </w:rPr>
          <w:t>4</w:t>
        </w:r>
        <w:r w:rsidR="00116A0C">
          <w:rPr>
            <w:rFonts w:ascii="Calibri" w:hAnsi="Calibri" w:cs="Calibri"/>
            <w:i/>
            <w:iCs/>
            <w:sz w:val="20"/>
            <w:szCs w:val="20"/>
          </w:rPr>
          <w:t>1</w:t>
        </w:r>
        <w:r w:rsidRPr="00180E2E">
          <w:rPr>
            <w:rFonts w:ascii="Calibri" w:hAnsi="Calibri" w:cs="Calibri"/>
            <w:i/>
            <w:iCs/>
            <w:sz w:val="20"/>
            <w:szCs w:val="20"/>
          </w:rPr>
          <w:t xml:space="preserve">                                                                              </w:t>
        </w:r>
      </w:p>
      <w:p w14:paraId="77DE50D2" w14:textId="6AE3C2F6" w:rsidR="005B6B38" w:rsidRPr="00532F40" w:rsidRDefault="00532F40"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003A7015">
          <w:rPr>
            <w:rFonts w:ascii="Calibri" w:hAnsi="Calibri" w:cs="Calibri"/>
            <w:i/>
            <w:iCs/>
            <w:sz w:val="20"/>
            <w:szCs w:val="20"/>
          </w:rPr>
          <w:t xml:space="preserve"> </w:t>
        </w:r>
        <w:r w:rsidR="003A7015" w:rsidRPr="003A7015">
          <w:rPr>
            <w:rFonts w:ascii="Calibri" w:hAnsi="Calibri" w:cs="Calibri"/>
            <w:i/>
            <w:iCs/>
            <w:sz w:val="20"/>
            <w:szCs w:val="20"/>
            <w:highlight w:val="yellow"/>
          </w:rPr>
          <w:t>(Zápatí zůstane v případě nabídky do části 2 veřejné zakázky)</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16272" w14:textId="77777777" w:rsidR="00562475" w:rsidRDefault="00562475" w:rsidP="009B0C36">
      <w:r>
        <w:separator/>
      </w:r>
    </w:p>
  </w:footnote>
  <w:footnote w:type="continuationSeparator" w:id="0">
    <w:p w14:paraId="58EE7DBA" w14:textId="77777777" w:rsidR="00562475" w:rsidRDefault="0056247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234A7E73" w:rsidR="000A0FF3" w:rsidRPr="00020322" w:rsidRDefault="003A7015" w:rsidP="00EB723F">
    <w:pPr>
      <w:pStyle w:val="Zhlav"/>
      <w:tabs>
        <w:tab w:val="clear" w:pos="4536"/>
        <w:tab w:val="clear" w:pos="9072"/>
        <w:tab w:val="left" w:pos="6960"/>
      </w:tabs>
      <w:rPr>
        <w:rFonts w:ascii="Calibri" w:hAnsi="Calibri" w:cs="Calibri"/>
        <w:b/>
        <w:bCs/>
        <w:i/>
        <w:iCs/>
        <w:sz w:val="20"/>
        <w:szCs w:val="20"/>
        <w:highlight w:val="yellow"/>
      </w:rPr>
    </w:pPr>
    <w:r>
      <w:rPr>
        <w:rFonts w:ascii="Calibri" w:hAnsi="Calibri" w:cs="Calibri"/>
        <w:b/>
        <w:bCs/>
        <w:i/>
        <w:iCs/>
        <w:sz w:val="20"/>
        <w:szCs w:val="20"/>
        <w:highlight w:val="yellow"/>
      </w:rPr>
      <w:t>(Záhlaví s logem EU a MMR zůstane v případě nabídky do části 2 veřejné zakázky)</w:t>
    </w:r>
    <w:r w:rsidR="00284731"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4731"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61BC063C"/>
    <w:lvl w:ilvl="0" w:tplc="79EEFF6E">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6B62"/>
    <w:rsid w:val="000A0FF3"/>
    <w:rsid w:val="000C2BBF"/>
    <w:rsid w:val="00101A54"/>
    <w:rsid w:val="001041C2"/>
    <w:rsid w:val="00104420"/>
    <w:rsid w:val="001142B6"/>
    <w:rsid w:val="00116A0C"/>
    <w:rsid w:val="00120351"/>
    <w:rsid w:val="00130506"/>
    <w:rsid w:val="001314A4"/>
    <w:rsid w:val="00133407"/>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4731"/>
    <w:rsid w:val="002960DC"/>
    <w:rsid w:val="002A227A"/>
    <w:rsid w:val="002B6DB3"/>
    <w:rsid w:val="002E0B61"/>
    <w:rsid w:val="00307BDD"/>
    <w:rsid w:val="003344D5"/>
    <w:rsid w:val="0034495D"/>
    <w:rsid w:val="003506AD"/>
    <w:rsid w:val="003608C7"/>
    <w:rsid w:val="00373F2B"/>
    <w:rsid w:val="00384616"/>
    <w:rsid w:val="00385276"/>
    <w:rsid w:val="00391180"/>
    <w:rsid w:val="003911F5"/>
    <w:rsid w:val="003A320F"/>
    <w:rsid w:val="003A7015"/>
    <w:rsid w:val="003B30BD"/>
    <w:rsid w:val="003C1938"/>
    <w:rsid w:val="003D12B4"/>
    <w:rsid w:val="003D40CD"/>
    <w:rsid w:val="003D6C9E"/>
    <w:rsid w:val="00424E16"/>
    <w:rsid w:val="0043610E"/>
    <w:rsid w:val="0045677B"/>
    <w:rsid w:val="00462F7D"/>
    <w:rsid w:val="00465A4E"/>
    <w:rsid w:val="00494B52"/>
    <w:rsid w:val="004A44B7"/>
    <w:rsid w:val="004A629E"/>
    <w:rsid w:val="004D2459"/>
    <w:rsid w:val="00503326"/>
    <w:rsid w:val="0053054B"/>
    <w:rsid w:val="00532F40"/>
    <w:rsid w:val="00553D41"/>
    <w:rsid w:val="00562475"/>
    <w:rsid w:val="00592397"/>
    <w:rsid w:val="0059677A"/>
    <w:rsid w:val="005B6B38"/>
    <w:rsid w:val="005C580D"/>
    <w:rsid w:val="005D13F6"/>
    <w:rsid w:val="005F253D"/>
    <w:rsid w:val="00636C16"/>
    <w:rsid w:val="006A36A9"/>
    <w:rsid w:val="006C07FB"/>
    <w:rsid w:val="006D0171"/>
    <w:rsid w:val="006D5927"/>
    <w:rsid w:val="007043A0"/>
    <w:rsid w:val="00710649"/>
    <w:rsid w:val="0076251E"/>
    <w:rsid w:val="007732BE"/>
    <w:rsid w:val="007804AA"/>
    <w:rsid w:val="00782111"/>
    <w:rsid w:val="00795A37"/>
    <w:rsid w:val="007A42E8"/>
    <w:rsid w:val="007B6512"/>
    <w:rsid w:val="007D4423"/>
    <w:rsid w:val="007D4588"/>
    <w:rsid w:val="007E4749"/>
    <w:rsid w:val="00800356"/>
    <w:rsid w:val="0080560B"/>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5AB3"/>
    <w:rsid w:val="009A5AB0"/>
    <w:rsid w:val="009B0C36"/>
    <w:rsid w:val="009B7886"/>
    <w:rsid w:val="009C4212"/>
    <w:rsid w:val="009C6E46"/>
    <w:rsid w:val="009F261B"/>
    <w:rsid w:val="00A36F2B"/>
    <w:rsid w:val="00A37978"/>
    <w:rsid w:val="00A72C26"/>
    <w:rsid w:val="00A97B84"/>
    <w:rsid w:val="00A97DF3"/>
    <w:rsid w:val="00AE2B3E"/>
    <w:rsid w:val="00AF367E"/>
    <w:rsid w:val="00B071C9"/>
    <w:rsid w:val="00B666DA"/>
    <w:rsid w:val="00B72071"/>
    <w:rsid w:val="00B768F5"/>
    <w:rsid w:val="00BA23D8"/>
    <w:rsid w:val="00BA2736"/>
    <w:rsid w:val="00BA75DD"/>
    <w:rsid w:val="00BA7FE6"/>
    <w:rsid w:val="00BE443A"/>
    <w:rsid w:val="00BF24BB"/>
    <w:rsid w:val="00BF2FC2"/>
    <w:rsid w:val="00C156D2"/>
    <w:rsid w:val="00C168C7"/>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60629"/>
    <w:rsid w:val="00D61FD0"/>
    <w:rsid w:val="00D71975"/>
    <w:rsid w:val="00D72EBB"/>
    <w:rsid w:val="00D73A4C"/>
    <w:rsid w:val="00D83A47"/>
    <w:rsid w:val="00D845B1"/>
    <w:rsid w:val="00DA2B06"/>
    <w:rsid w:val="00DA351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5FFF"/>
    <w:rsid w:val="00ED7BC3"/>
    <w:rsid w:val="00EE0BA2"/>
    <w:rsid w:val="00EE5324"/>
    <w:rsid w:val="00F1156D"/>
    <w:rsid w:val="00F13FDC"/>
    <w:rsid w:val="00F310B2"/>
    <w:rsid w:val="00F514C1"/>
    <w:rsid w:val="00F80236"/>
    <w:rsid w:val="00F837E0"/>
    <w:rsid w:val="00F900CD"/>
    <w:rsid w:val="00F970BC"/>
    <w:rsid w:val="00FA62C3"/>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13</Pages>
  <Words>3867</Words>
  <Characters>22822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14</cp:revision>
  <cp:lastPrinted>2018-10-01T07:59:00Z</cp:lastPrinted>
  <dcterms:created xsi:type="dcterms:W3CDTF">2019-10-29T08:33:00Z</dcterms:created>
  <dcterms:modified xsi:type="dcterms:W3CDTF">2020-01-09T08:11:00Z</dcterms:modified>
</cp:coreProperties>
</file>